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1701"/>
          <w:tab w:val="right" w:pos="9923"/>
          <w:tab w:val="clear" w:pos="4536"/>
          <w:tab w:val="clear" w:pos="9072"/>
        </w:tabs>
        <w:rPr>
          <w:sz w:val="28"/>
          <w:szCs w:val="28"/>
          <w:lang w:val="en-GB"/>
        </w:rPr>
      </w:pPr>
      <w:bookmarkStart w:id="0" w:name="OLE_LINK1"/>
      <w:r>
        <w:rPr>
          <w:sz w:val="28"/>
          <w:szCs w:val="28"/>
          <w:lang w:val="en-GB"/>
        </w:rPr>
        <w:t>3GPP TSG-RAN WG2 Meeting #103</w:t>
      </w:r>
      <w:r>
        <w:rPr>
          <w:rFonts w:hint="eastAsia" w:eastAsia="宋体"/>
          <w:sz w:val="28"/>
          <w:szCs w:val="28"/>
          <w:lang w:val="en-US" w:eastAsia="zh-CN"/>
        </w:rPr>
        <w:t xml:space="preserve">                    R2-1812950</w:t>
      </w:r>
    </w:p>
    <w:p>
      <w:pPr>
        <w:pStyle w:val="17"/>
        <w:tabs>
          <w:tab w:val="left" w:pos="1701"/>
          <w:tab w:val="right" w:pos="9000"/>
          <w:tab w:val="clear" w:pos="4536"/>
          <w:tab w:val="clear" w:pos="9072"/>
        </w:tabs>
        <w:rPr>
          <w:rFonts w:hint="eastAsia" w:eastAsia="宋体"/>
          <w:sz w:val="24"/>
          <w:szCs w:val="24"/>
          <w:lang w:val="en-US" w:eastAsia="zh-CN"/>
        </w:rPr>
      </w:pPr>
      <w:bookmarkStart w:id="1" w:name="OLE_LINK2"/>
      <w:r>
        <w:rPr>
          <w:sz w:val="24"/>
          <w:szCs w:val="24"/>
          <w:lang w:val="en-GB"/>
        </w:rPr>
        <w:t>Gothenburg, Sweden, 20th - 24th August 2018</w:t>
      </w:r>
      <w:r>
        <w:rPr>
          <w:rFonts w:hint="eastAsia" w:eastAsia="宋体"/>
          <w:sz w:val="24"/>
          <w:szCs w:val="24"/>
          <w:lang w:val="en-US" w:eastAsia="zh-CN"/>
        </w:rPr>
        <w:tab/>
        <w:t xml:space="preserve">Revision of </w:t>
      </w:r>
      <w:r>
        <w:rPr>
          <w:rFonts w:hint="eastAsia" w:eastAsia="宋体"/>
          <w:sz w:val="24"/>
          <w:szCs w:val="24"/>
          <w:lang w:val="en-GB" w:eastAsia="zh-CN"/>
        </w:rPr>
        <w:t>R2-18</w:t>
      </w:r>
      <w:r>
        <w:rPr>
          <w:rFonts w:hint="eastAsia" w:eastAsia="宋体"/>
          <w:sz w:val="24"/>
          <w:szCs w:val="24"/>
          <w:lang w:val="en-US" w:eastAsia="zh-CN"/>
        </w:rPr>
        <w:t>11480</w:t>
      </w:r>
    </w:p>
    <w:bookmarkEnd w:id="0"/>
    <w:bookmarkEnd w:id="1"/>
    <w:p>
      <w:pPr>
        <w:pStyle w:val="17"/>
        <w:tabs>
          <w:tab w:val="left" w:pos="1701"/>
          <w:tab w:val="right" w:pos="9923"/>
          <w:tab w:val="clear" w:pos="4536"/>
          <w:tab w:val="clear" w:pos="9072"/>
        </w:tabs>
        <w:jc w:val="both"/>
        <w:rPr>
          <w:rFonts w:eastAsia="宋体" w:cs="Arial"/>
          <w:sz w:val="22"/>
          <w:szCs w:val="22"/>
          <w:lang w:val="en-US" w:eastAsia="zh-CN"/>
        </w:rPr>
      </w:pPr>
      <w:r>
        <w:rPr>
          <w:rFonts w:hint="eastAsia" w:eastAsia="宋体" w:cs="Arial"/>
          <w:b/>
          <w:sz w:val="22"/>
          <w:szCs w:val="22"/>
          <w:lang w:val="en-US" w:eastAsia="zh-CN" w:bidi="ar-SA"/>
        </w:rPr>
        <w:tab/>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val="en-US" w:eastAsia="zh-CN"/>
        </w:rPr>
      </w:pPr>
      <w:r>
        <w:rPr>
          <w:rFonts w:cs="Arial"/>
          <w:sz w:val="22"/>
          <w:szCs w:val="22"/>
        </w:rPr>
        <w:t>Title:</w:t>
      </w:r>
      <w:bookmarkStart w:id="2" w:name="Title"/>
      <w:bookmarkEnd w:id="2"/>
      <w:r>
        <w:rPr>
          <w:rFonts w:cs="Arial"/>
          <w:sz w:val="22"/>
          <w:szCs w:val="22"/>
        </w:rPr>
        <w:tab/>
      </w:r>
      <w:r>
        <w:rPr>
          <w:rFonts w:hint="eastAsia" w:eastAsia="宋体" w:cs="Arial"/>
          <w:sz w:val="22"/>
          <w:szCs w:val="22"/>
          <w:lang w:val="en-US" w:eastAsia="zh-CN"/>
        </w:rPr>
        <w:t xml:space="preserve">Considering on the </w:t>
      </w:r>
      <w:r>
        <w:rPr>
          <w:rFonts w:hint="eastAsia"/>
          <w:sz w:val="20"/>
          <w:szCs w:val="24"/>
          <w:lang w:val="en-US" w:eastAsia="zh-CN"/>
        </w:rPr>
        <w:t>RA triggered BWP switch in case SUL is configured</w:t>
      </w:r>
      <w:r>
        <w:rPr>
          <w:rFonts w:hint="eastAsia" w:eastAsia="宋体" w:cs="Arial"/>
          <w:sz w:val="22"/>
          <w:szCs w:val="22"/>
          <w:lang w:val="en-US" w:eastAsia="zh-CN"/>
        </w:rPr>
        <w:t xml:space="preserve"> </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3" w:name="Source"/>
      <w:bookmarkEnd w:id="3"/>
      <w:r>
        <w:rPr>
          <w:rFonts w:cs="Arial"/>
          <w:sz w:val="22"/>
          <w:szCs w:val="22"/>
        </w:rPr>
        <w:tab/>
      </w:r>
      <w:r>
        <w:rPr>
          <w:rFonts w:hint="eastAsia" w:eastAsia="宋体" w:cs="Arial"/>
          <w:sz w:val="22"/>
          <w:szCs w:val="22"/>
          <w:lang w:val="en-US" w:eastAsia="zh-CN"/>
        </w:rPr>
        <w:t>10.3.1.4.3</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sz w:val="20"/>
          <w:szCs w:val="24"/>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jc w:val="both"/>
        <w:rPr>
          <w:rFonts w:hint="eastAsia" w:eastAsia="宋体"/>
          <w:lang w:val="en-US" w:eastAsia="zh-CN"/>
        </w:rPr>
      </w:pPr>
      <w:r>
        <w:rPr>
          <w:rFonts w:hint="eastAsia" w:eastAsia="宋体"/>
          <w:lang w:val="en-US" w:eastAsia="zh-CN"/>
        </w:rPr>
        <w:t>Based on the current specification, both the BWP switch and SUL/NUL selection may be performed before the selection of RA resources. However, in case SUL is configured, two UL BWPs can be activated simultaneously for SUL and NUL accordingly, and the UE</w:t>
      </w:r>
      <w:r>
        <w:rPr>
          <w:rFonts w:hint="default" w:eastAsia="宋体"/>
          <w:lang w:val="en-US" w:eastAsia="zh-CN"/>
        </w:rPr>
        <w:t>’</w:t>
      </w:r>
      <w:r>
        <w:rPr>
          <w:rFonts w:hint="eastAsia" w:eastAsia="宋体"/>
          <w:lang w:val="en-US" w:eastAsia="zh-CN"/>
        </w:rPr>
        <w:t xml:space="preserve">s behavior for RA triggered BWP switch is not clear in such case. </w:t>
      </w:r>
    </w:p>
    <w:p>
      <w:pPr>
        <w:jc w:val="both"/>
        <w:rPr>
          <w:rFonts w:hint="eastAsia" w:eastAsia="宋体"/>
          <w:lang w:val="en-US" w:eastAsia="zh-CN"/>
        </w:rPr>
      </w:pPr>
      <w:r>
        <w:rPr>
          <w:rFonts w:hint="eastAsia" w:eastAsia="宋体"/>
          <w:lang w:val="en-US" w:eastAsia="zh-CN"/>
        </w:rPr>
        <w:t>The target of this contribution is to clarify this issue and share our view on this aspect.</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jc w:val="both"/>
        <w:rPr>
          <w:rFonts w:hint="eastAsia"/>
          <w:lang w:val="en-US" w:eastAsia="zh-CN"/>
        </w:rPr>
      </w:pPr>
      <w:r>
        <w:rPr>
          <w:rFonts w:hint="eastAsia"/>
          <w:lang w:val="en-US" w:eastAsia="zh-CN"/>
        </w:rPr>
        <w:t xml:space="preserve">According to the current spec, the description about RA triggered BWP switch and SUL selection can be found as follow: </w:t>
      </w:r>
    </w:p>
    <w:p>
      <w:pPr>
        <w:jc w:val="both"/>
        <w:rPr>
          <w:rFonts w:hint="eastAsia"/>
          <w:b/>
          <w:bCs/>
          <w:sz w:val="21"/>
          <w:szCs w:val="21"/>
          <w:lang w:val="en-US" w:eastAsia="zh-CN"/>
        </w:rPr>
      </w:pPr>
      <w:r>
        <w:rPr>
          <w:rFonts w:hint="eastAsia"/>
          <w:b/>
          <w:bCs/>
          <w:sz w:val="21"/>
          <w:szCs w:val="21"/>
          <w:lang w:val="en-US" w:eastAsia="zh-CN"/>
        </w:rPr>
        <w:t>---------------------------------------</w:t>
      </w:r>
      <w:r>
        <w:rPr>
          <w:rFonts w:hint="eastAsia"/>
          <w:b w:val="0"/>
          <w:bCs w:val="0"/>
          <w:i/>
          <w:iCs/>
          <w:sz w:val="21"/>
          <w:szCs w:val="21"/>
          <w:lang w:val="en-US" w:eastAsia="zh-CN"/>
        </w:rPr>
        <w:t>From 38.321f20</w:t>
      </w:r>
      <w:r>
        <w:rPr>
          <w:rFonts w:hint="eastAsia"/>
          <w:b/>
          <w:bCs/>
          <w:sz w:val="21"/>
          <w:szCs w:val="21"/>
          <w:lang w:val="en-US" w:eastAsia="zh-CN"/>
        </w:rPr>
        <w:t>----------------------------------------------------------------------</w:t>
      </w:r>
    </w:p>
    <w:p>
      <w:pPr>
        <w:jc w:val="both"/>
        <w:rPr>
          <w:rFonts w:hint="eastAsia"/>
          <w:b/>
          <w:bCs/>
          <w:sz w:val="21"/>
          <w:szCs w:val="21"/>
          <w:lang w:val="en-US" w:eastAsia="zh-CN"/>
        </w:rPr>
      </w:pPr>
      <w:r>
        <w:rPr>
          <w:rFonts w:hint="eastAsia"/>
          <w:b/>
          <w:bCs/>
          <w:sz w:val="21"/>
          <w:szCs w:val="21"/>
          <w:lang w:val="en-US" w:eastAsia="zh-CN"/>
        </w:rPr>
        <w:t>5.1.1 Random Access Procedure Initiation</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pStyle w:val="62"/>
        <w:rPr>
          <w:lang w:eastAsia="ko-KR"/>
        </w:rPr>
      </w:pPr>
      <w:r>
        <w:rPr>
          <w:lang w:eastAsia="ko-KR"/>
        </w:rPr>
        <w:t>1&gt;</w:t>
      </w:r>
      <w:r>
        <w:rPr>
          <w:lang w:eastAsia="ko-KR"/>
        </w:rPr>
        <w:tab/>
      </w:r>
      <w:r>
        <w:rPr>
          <w:lang w:eastAsia="ko-KR"/>
        </w:rPr>
        <w:t>if the carrier to use for the Random Access procedure is explicitly signalled:</w:t>
      </w:r>
    </w:p>
    <w:p>
      <w:pPr>
        <w:pStyle w:val="64"/>
        <w:rPr>
          <w:lang w:eastAsia="ko-KR"/>
        </w:rPr>
      </w:pPr>
      <w:r>
        <w:rPr>
          <w:lang w:eastAsia="ko-KR"/>
        </w:rPr>
        <w:t>2&gt;</w:t>
      </w:r>
      <w:r>
        <w:rPr>
          <w:lang w:eastAsia="ko-KR"/>
        </w:rPr>
        <w:tab/>
      </w:r>
      <w:r>
        <w:rPr>
          <w:lang w:eastAsia="ko-KR"/>
        </w:rPr>
        <w:t>select the signalled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pPr>
        <w:pStyle w:val="62"/>
        <w:rPr>
          <w:lang w:eastAsia="ko-KR"/>
        </w:rPr>
      </w:pPr>
      <w:r>
        <w:rPr>
          <w:lang w:eastAsia="ko-KR"/>
        </w:rPr>
        <w:t>1&gt;</w:t>
      </w:r>
      <w:r>
        <w:rPr>
          <w:lang w:eastAsia="ko-KR"/>
        </w:rPr>
        <w:tab/>
      </w:r>
      <w:r>
        <w:rPr>
          <w:lang w:eastAsia="ko-KR"/>
        </w:rPr>
        <w:t>else if the carrier to use for the Random Access procedure is not explicitly signalled; and</w:t>
      </w:r>
    </w:p>
    <w:p>
      <w:pPr>
        <w:pStyle w:val="62"/>
        <w:rPr>
          <w:highlight w:val="yellow"/>
          <w:lang w:eastAsia="ko-KR"/>
        </w:rPr>
      </w:pPr>
      <w:r>
        <w:rPr>
          <w:highlight w:val="yellow"/>
          <w:lang w:eastAsia="ko-KR"/>
        </w:rPr>
        <w:t>1&gt;</w:t>
      </w:r>
      <w:r>
        <w:rPr>
          <w:highlight w:val="yellow"/>
          <w:lang w:eastAsia="ko-KR"/>
        </w:rPr>
        <w:tab/>
      </w:r>
      <w:r>
        <w:rPr>
          <w:highlight w:val="yellow"/>
          <w:lang w:eastAsia="ko-KR"/>
        </w:rPr>
        <w:t xml:space="preserve">if the Serving Cell for the Random Access procedure is configured with </w:t>
      </w:r>
      <w:r>
        <w:rPr>
          <w:i/>
          <w:highlight w:val="yellow"/>
          <w:lang w:eastAsia="ko-KR"/>
        </w:rPr>
        <w:t>supplementaryUplink</w:t>
      </w:r>
      <w:r>
        <w:rPr>
          <w:highlight w:val="yellow"/>
          <w:lang w:eastAsia="ko-KR"/>
        </w:rPr>
        <w:t>; and</w:t>
      </w:r>
    </w:p>
    <w:p>
      <w:pPr>
        <w:pStyle w:val="62"/>
        <w:rPr>
          <w:highlight w:val="yellow"/>
          <w:lang w:eastAsia="ko-KR"/>
        </w:rPr>
      </w:pPr>
      <w:r>
        <w:rPr>
          <w:highlight w:val="yellow"/>
          <w:lang w:eastAsia="ko-KR"/>
        </w:rPr>
        <w:t>1&gt;</w:t>
      </w:r>
      <w:r>
        <w:rPr>
          <w:highlight w:val="yellow"/>
          <w:lang w:eastAsia="ko-KR"/>
        </w:rPr>
        <w:tab/>
      </w:r>
      <w:r>
        <w:rPr>
          <w:highlight w:val="yellow"/>
          <w:lang w:eastAsia="ko-KR"/>
        </w:rPr>
        <w:t xml:space="preserve">if the RSRP of the downlink pathloss reference is less than </w:t>
      </w:r>
      <w:r>
        <w:rPr>
          <w:i/>
          <w:highlight w:val="yellow"/>
          <w:lang w:eastAsia="ko-KR"/>
        </w:rPr>
        <w:t>rsrp-ThresholdSSB-SUL</w:t>
      </w:r>
      <w:r>
        <w:rPr>
          <w:highlight w:val="yellow"/>
          <w:lang w:eastAsia="ko-KR"/>
        </w:rPr>
        <w:t>:</w:t>
      </w:r>
    </w:p>
    <w:p>
      <w:pPr>
        <w:pStyle w:val="64"/>
        <w:rPr>
          <w:lang w:eastAsia="ko-KR"/>
        </w:rPr>
      </w:pPr>
      <w:r>
        <w:rPr>
          <w:lang w:eastAsia="ko-KR"/>
        </w:rPr>
        <w:t>2&gt;</w:t>
      </w:r>
      <w:r>
        <w:rPr>
          <w:lang w:eastAsia="ko-KR"/>
        </w:rPr>
        <w:tab/>
      </w:r>
      <w:r>
        <w:rPr>
          <w:lang w:eastAsia="ko-KR"/>
        </w:rPr>
        <w:t>select the SUL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pPr>
        <w:pStyle w:val="62"/>
        <w:rPr>
          <w:lang w:eastAsia="ko-KR"/>
        </w:rPr>
      </w:pPr>
      <w:r>
        <w:rPr>
          <w:lang w:eastAsia="ko-KR"/>
        </w:rPr>
        <w:t>1&gt;</w:t>
      </w:r>
      <w:r>
        <w:rPr>
          <w:lang w:eastAsia="ko-KR"/>
        </w:rPr>
        <w:tab/>
      </w:r>
      <w:r>
        <w:rPr>
          <w:lang w:eastAsia="ko-KR"/>
        </w:rPr>
        <w:t>else:</w:t>
      </w:r>
    </w:p>
    <w:p>
      <w:pPr>
        <w:pStyle w:val="64"/>
        <w:rPr>
          <w:lang w:eastAsia="ko-KR"/>
        </w:rPr>
      </w:pPr>
      <w:r>
        <w:rPr>
          <w:lang w:eastAsia="ko-KR"/>
        </w:rPr>
        <w:t>2&gt;</w:t>
      </w:r>
      <w:r>
        <w:rPr>
          <w:lang w:eastAsia="ko-KR"/>
        </w:rPr>
        <w:tab/>
      </w:r>
      <w:r>
        <w:rPr>
          <w:lang w:eastAsia="ko-KR"/>
        </w:rPr>
        <w:t>select the NUL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jc w:val="both"/>
        <w:rPr>
          <w:rFonts w:hint="eastAsia"/>
          <w:b/>
          <w:bCs/>
          <w:sz w:val="21"/>
          <w:szCs w:val="24"/>
          <w:lang w:val="en-US" w:eastAsia="zh-CN"/>
        </w:rPr>
      </w:pPr>
    </w:p>
    <w:p>
      <w:pPr>
        <w:jc w:val="both"/>
        <w:rPr>
          <w:rFonts w:hint="eastAsia"/>
          <w:b/>
          <w:bCs/>
          <w:sz w:val="21"/>
          <w:szCs w:val="24"/>
          <w:lang w:val="en-US" w:eastAsia="zh-CN"/>
        </w:rPr>
      </w:pPr>
    </w:p>
    <w:p>
      <w:pPr>
        <w:jc w:val="both"/>
        <w:rPr>
          <w:rFonts w:hint="eastAsia"/>
          <w:b/>
          <w:bCs/>
          <w:sz w:val="21"/>
          <w:szCs w:val="24"/>
          <w:lang w:val="en-US" w:eastAsia="zh-CN"/>
        </w:rPr>
      </w:pPr>
      <w:r>
        <w:rPr>
          <w:rFonts w:hint="eastAsia"/>
          <w:b/>
          <w:bCs/>
          <w:sz w:val="21"/>
          <w:szCs w:val="24"/>
          <w:lang w:val="en-US" w:eastAsia="zh-CN"/>
        </w:rPr>
        <w:t>5.15 Bandwidth Part (BWP) operation</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jc w:val="both"/>
        <w:rPr>
          <w:lang w:eastAsia="ko-KR"/>
        </w:rPr>
      </w:pPr>
      <w:r>
        <w:rPr>
          <w:highlight w:val="yellow"/>
          <w:lang w:eastAsia="ko-KR"/>
        </w:rPr>
        <w:t>Upon initiation of the Random Access procedure on a Serving Cell</w:t>
      </w:r>
      <w:r>
        <w:rPr>
          <w:lang w:eastAsia="ko-KR"/>
        </w:rPr>
        <w:t>, the MAC entity shall for this Serving Cell:</w:t>
      </w:r>
    </w:p>
    <w:p>
      <w:pPr>
        <w:pStyle w:val="62"/>
        <w:jc w:val="both"/>
        <w:rPr>
          <w:lang w:eastAsia="ko-KR"/>
        </w:rPr>
      </w:pPr>
      <w:r>
        <w:rPr>
          <w:lang w:eastAsia="ko-KR"/>
        </w:rPr>
        <w:t>1&gt;</w:t>
      </w:r>
      <w:r>
        <w:rPr>
          <w:lang w:eastAsia="ko-KR"/>
        </w:rPr>
        <w:tab/>
      </w:r>
      <w:r>
        <w:rPr>
          <w:lang w:eastAsia="ko-KR"/>
        </w:rPr>
        <w:t>if PRACH occasions are not configured for the active UL BWP:</w:t>
      </w:r>
    </w:p>
    <w:p>
      <w:pPr>
        <w:pStyle w:val="64"/>
        <w:jc w:val="both"/>
        <w:rPr>
          <w:lang w:eastAsia="ko-KR"/>
        </w:rPr>
      </w:pPr>
      <w:r>
        <w:rPr>
          <w:lang w:eastAsia="ko-KR"/>
        </w:rPr>
        <w:t>2&gt;</w:t>
      </w:r>
      <w:r>
        <w:rPr>
          <w:lang w:eastAsia="ko-KR"/>
        </w:rPr>
        <w:tab/>
      </w:r>
      <w:r>
        <w:rPr>
          <w:lang w:eastAsia="ko-KR"/>
        </w:rPr>
        <w:t xml:space="preserve">switch the active UL BWP to BWP indicated by </w:t>
      </w:r>
      <w:r>
        <w:rPr>
          <w:i/>
          <w:lang w:eastAsia="ko-KR"/>
        </w:rPr>
        <w:t>initialUplinkBWP</w:t>
      </w:r>
      <w:r>
        <w:rPr>
          <w:lang w:eastAsia="ko-KR"/>
        </w:rPr>
        <w:t>;</w:t>
      </w:r>
    </w:p>
    <w:p>
      <w:pPr>
        <w:pStyle w:val="64"/>
        <w:jc w:val="both"/>
        <w:rPr>
          <w:lang w:eastAsia="ko-KR"/>
        </w:rPr>
      </w:pPr>
      <w:r>
        <w:rPr>
          <w:lang w:eastAsia="ko-KR"/>
        </w:rPr>
        <w:t>2&gt;</w:t>
      </w:r>
      <w:r>
        <w:rPr>
          <w:lang w:eastAsia="ko-KR"/>
        </w:rPr>
        <w:tab/>
      </w:r>
      <w:r>
        <w:rPr>
          <w:lang w:eastAsia="ko-KR"/>
        </w:rPr>
        <w:t>if the Serving Cell is a SpCell:</w:t>
      </w:r>
    </w:p>
    <w:p>
      <w:pPr>
        <w:pStyle w:val="66"/>
        <w:jc w:val="both"/>
        <w:rPr>
          <w:lang w:eastAsia="ko-KR"/>
        </w:rPr>
      </w:pPr>
      <w:r>
        <w:rPr>
          <w:lang w:eastAsia="ko-KR"/>
        </w:rPr>
        <w:t>3&gt;</w:t>
      </w:r>
      <w:r>
        <w:rPr>
          <w:lang w:eastAsia="ko-KR"/>
        </w:rPr>
        <w:tab/>
      </w:r>
      <w:r>
        <w:rPr>
          <w:lang w:eastAsia="ko-KR"/>
        </w:rPr>
        <w:t xml:space="preserve">switch the active DL BWP to BWP indicated by </w:t>
      </w:r>
      <w:r>
        <w:rPr>
          <w:i/>
          <w:lang w:eastAsia="ko-KR"/>
        </w:rPr>
        <w:t>initialDownlinkBWP</w:t>
      </w:r>
      <w:r>
        <w:rPr>
          <w:lang w:eastAsia="ko-KR"/>
        </w:rPr>
        <w:t>.</w:t>
      </w:r>
    </w:p>
    <w:p>
      <w:pPr>
        <w:pStyle w:val="62"/>
        <w:jc w:val="both"/>
        <w:rPr>
          <w:lang w:eastAsia="ko-KR"/>
        </w:rPr>
      </w:pPr>
      <w:r>
        <w:rPr>
          <w:lang w:eastAsia="ko-KR"/>
        </w:rPr>
        <w:t>1&gt;</w:t>
      </w:r>
      <w:r>
        <w:rPr>
          <w:lang w:eastAsia="ko-KR"/>
        </w:rPr>
        <w:tab/>
      </w:r>
      <w:r>
        <w:rPr>
          <w:lang w:eastAsia="ko-KR"/>
        </w:rPr>
        <w:t>else:</w:t>
      </w:r>
    </w:p>
    <w:p>
      <w:pPr>
        <w:pStyle w:val="64"/>
        <w:jc w:val="both"/>
        <w:rPr>
          <w:lang w:eastAsia="ko-KR"/>
        </w:rPr>
      </w:pPr>
      <w:r>
        <w:rPr>
          <w:lang w:eastAsia="ko-KR"/>
        </w:rPr>
        <w:t>2&gt;</w:t>
      </w:r>
      <w:r>
        <w:rPr>
          <w:lang w:eastAsia="ko-KR"/>
        </w:rPr>
        <w:tab/>
      </w:r>
      <w:r>
        <w:rPr>
          <w:lang w:eastAsia="ko-KR"/>
        </w:rPr>
        <w:t>if the Serving Cell is a SpCell:</w:t>
      </w:r>
    </w:p>
    <w:p>
      <w:pPr>
        <w:pStyle w:val="66"/>
        <w:jc w:val="both"/>
        <w:rPr>
          <w:lang w:eastAsia="ko-KR"/>
        </w:rPr>
      </w:pPr>
      <w:r>
        <w:rPr>
          <w:lang w:eastAsia="ko-KR"/>
        </w:rPr>
        <w:t>3&gt;</w:t>
      </w:r>
      <w:r>
        <w:rPr>
          <w:lang w:eastAsia="ko-KR"/>
        </w:rPr>
        <w:tab/>
      </w:r>
      <w:r>
        <w:rPr>
          <w:lang w:eastAsia="ko-KR"/>
        </w:rPr>
        <w:t xml:space="preserve">if the active DL BWP does not have the same </w:t>
      </w:r>
      <w:r>
        <w:rPr>
          <w:i/>
          <w:lang w:eastAsia="ko-KR"/>
        </w:rPr>
        <w:t>bwp-Id</w:t>
      </w:r>
      <w:r>
        <w:rPr>
          <w:lang w:eastAsia="ko-KR"/>
        </w:rPr>
        <w:t xml:space="preserve"> as the active UL BWP:</w:t>
      </w:r>
    </w:p>
    <w:p>
      <w:pPr>
        <w:pStyle w:val="68"/>
        <w:jc w:val="both"/>
        <w:rPr>
          <w:lang w:eastAsia="ko-KR"/>
        </w:rPr>
      </w:pPr>
      <w:r>
        <w:rPr>
          <w:lang w:eastAsia="ko-KR"/>
        </w:rPr>
        <w:t>4&gt;</w:t>
      </w:r>
      <w:r>
        <w:rPr>
          <w:lang w:eastAsia="ko-KR"/>
        </w:rPr>
        <w:tab/>
      </w:r>
      <w:r>
        <w:rPr>
          <w:lang w:eastAsia="ko-KR"/>
        </w:rPr>
        <w:t xml:space="preserve">switch the active DL BWP to the DL BWP with the same </w:t>
      </w:r>
      <w:r>
        <w:rPr>
          <w:i/>
          <w:lang w:eastAsia="ko-KR"/>
        </w:rPr>
        <w:t>bwp-Id</w:t>
      </w:r>
      <w:r>
        <w:rPr>
          <w:lang w:eastAsia="ko-KR"/>
        </w:rPr>
        <w:t xml:space="preserve"> as the active UL BWP.</w:t>
      </w:r>
    </w:p>
    <w:p>
      <w:pPr>
        <w:pStyle w:val="62"/>
        <w:jc w:val="both"/>
        <w:rPr>
          <w:highlight w:val="yellow"/>
          <w:lang w:eastAsia="ko-KR"/>
        </w:rPr>
      </w:pPr>
      <w:r>
        <w:rPr>
          <w:highlight w:val="yellow"/>
          <w:lang w:eastAsia="ko-KR"/>
        </w:rPr>
        <w:t>1&gt;</w:t>
      </w:r>
      <w:r>
        <w:rPr>
          <w:highlight w:val="yellow"/>
          <w:lang w:eastAsia="ko-KR"/>
        </w:rPr>
        <w:tab/>
      </w:r>
      <w:r>
        <w:rPr>
          <w:highlight w:val="yellow"/>
          <w:lang w:eastAsia="ko-KR"/>
        </w:rPr>
        <w:t>perform the Random Access procedure on the active DL BWP of SpCell and active UL BWP of this Serving Cell.</w:t>
      </w:r>
    </w:p>
    <w:p>
      <w:pPr>
        <w:jc w:val="both"/>
        <w:rPr>
          <w:rFonts w:hint="eastAsia"/>
          <w:lang w:val="en-US" w:eastAsia="zh-CN"/>
        </w:rPr>
      </w:pPr>
      <w:r>
        <w:rPr>
          <w:rFonts w:hint="eastAsia"/>
          <w:b/>
          <w:bCs/>
          <w:sz w:val="21"/>
          <w:szCs w:val="21"/>
          <w:lang w:val="en-US" w:eastAsia="zh-CN"/>
        </w:rPr>
        <w:t>---------------------------------------</w:t>
      </w:r>
      <w:r>
        <w:rPr>
          <w:rFonts w:hint="eastAsia"/>
          <w:b w:val="0"/>
          <w:bCs w:val="0"/>
          <w:i/>
          <w:iCs/>
          <w:sz w:val="21"/>
          <w:szCs w:val="21"/>
          <w:lang w:val="en-US" w:eastAsia="zh-CN"/>
        </w:rPr>
        <w:t>From 38.321f20</w:t>
      </w:r>
      <w:r>
        <w:rPr>
          <w:rFonts w:hint="eastAsia"/>
          <w:b/>
          <w:bCs/>
          <w:sz w:val="21"/>
          <w:szCs w:val="21"/>
          <w:lang w:val="en-US" w:eastAsia="zh-CN"/>
        </w:rPr>
        <w:t>----------------------------------------------------------------------</w:t>
      </w:r>
    </w:p>
    <w:p>
      <w:pPr>
        <w:jc w:val="both"/>
        <w:rPr>
          <w:rFonts w:hint="eastAsia"/>
          <w:lang w:val="en-US" w:eastAsia="zh-CN"/>
        </w:rPr>
      </w:pPr>
      <w:r>
        <w:rPr>
          <w:rFonts w:hint="eastAsia"/>
          <w:lang w:val="en-US" w:eastAsia="zh-CN"/>
        </w:rPr>
        <w:t xml:space="preserve">Based on the description of BWP switch above, it seems the SUL case has not been taken into account in the RA triggered BWP switch operation. </w:t>
      </w:r>
    </w:p>
    <w:p>
      <w:pPr>
        <w:jc w:val="both"/>
        <w:rPr>
          <w:rFonts w:hint="eastAsia"/>
          <w:lang w:val="en-US" w:eastAsia="zh-CN"/>
        </w:rPr>
      </w:pPr>
    </w:p>
    <w:p>
      <w:pPr>
        <w:jc w:val="both"/>
        <w:rPr>
          <w:rFonts w:hint="eastAsia"/>
          <w:b/>
          <w:bCs/>
          <w:lang w:val="en-US" w:eastAsia="zh-CN"/>
        </w:rPr>
      </w:pPr>
      <w:r>
        <w:rPr>
          <w:rFonts w:hint="eastAsia"/>
          <w:b/>
          <w:bCs/>
          <w:lang w:val="en-US" w:eastAsia="zh-CN"/>
        </w:rPr>
        <w:t>ISSUE : The SUL case has not been taken into account in the RA triggered BWP switch operation.</w:t>
      </w:r>
    </w:p>
    <w:p>
      <w:pPr>
        <w:jc w:val="both"/>
        <w:rPr>
          <w:rFonts w:hint="eastAsia"/>
          <w:lang w:val="en-US" w:eastAsia="zh-CN"/>
        </w:rPr>
      </w:pPr>
    </w:p>
    <w:p>
      <w:pPr>
        <w:jc w:val="both"/>
        <w:rPr>
          <w:rFonts w:hint="eastAsia"/>
          <w:lang w:val="en-US" w:eastAsia="zh-CN"/>
        </w:rPr>
      </w:pPr>
      <w:r>
        <w:rPr>
          <w:rFonts w:hint="eastAsia"/>
          <w:lang w:val="en-US" w:eastAsia="zh-CN"/>
        </w:rPr>
        <w:t>For the RACH fallback due to the lack of RA resource, in case SUL is configured, the following three cases should be considered:</w:t>
      </w:r>
    </w:p>
    <w:p>
      <w:pPr>
        <w:numPr>
          <w:ilvl w:val="0"/>
          <w:numId w:val="6"/>
        </w:numPr>
        <w:ind w:left="420" w:hanging="420"/>
        <w:jc w:val="both"/>
        <w:rPr>
          <w:rFonts w:hint="eastAsia"/>
          <w:lang w:val="en-US" w:eastAsia="zh-CN"/>
        </w:rPr>
      </w:pPr>
      <w:r>
        <w:rPr>
          <w:rFonts w:hint="eastAsia"/>
          <w:lang w:val="en-US" w:eastAsia="zh-CN"/>
        </w:rPr>
        <w:t>Case1: There are RA resources configured on both the activated BWP of SUL and NUL.</w:t>
      </w:r>
    </w:p>
    <w:p>
      <w:pPr>
        <w:numPr>
          <w:ilvl w:val="0"/>
          <w:numId w:val="6"/>
        </w:numPr>
        <w:ind w:left="420" w:hanging="420"/>
        <w:jc w:val="both"/>
        <w:rPr>
          <w:rFonts w:hint="eastAsia"/>
          <w:lang w:val="en-US" w:eastAsia="zh-CN"/>
        </w:rPr>
      </w:pPr>
      <w:r>
        <w:rPr>
          <w:rFonts w:hint="eastAsia"/>
          <w:lang w:val="en-US" w:eastAsia="zh-CN"/>
        </w:rPr>
        <w:t>Case2: There is RA resources on the activated BWP of either SUL or NUL (i.e. only one carrier has RA resources)</w:t>
      </w:r>
    </w:p>
    <w:p>
      <w:pPr>
        <w:numPr>
          <w:ilvl w:val="0"/>
          <w:numId w:val="6"/>
        </w:numPr>
        <w:ind w:left="420" w:hanging="420"/>
        <w:jc w:val="both"/>
        <w:rPr>
          <w:rFonts w:hint="eastAsia"/>
          <w:lang w:val="en-US" w:eastAsia="zh-CN"/>
        </w:rPr>
      </w:pPr>
      <w:r>
        <w:rPr>
          <w:rFonts w:hint="eastAsia"/>
          <w:lang w:val="en-US" w:eastAsia="zh-CN"/>
        </w:rPr>
        <w:t>Case3: There is no RA resources on the activated BWP of neither the SUL nor NUL.</w:t>
      </w:r>
    </w:p>
    <w:p>
      <w:pPr>
        <w:jc w:val="both"/>
        <w:rPr>
          <w:rFonts w:hint="eastAsia"/>
          <w:lang w:val="en-US" w:eastAsia="zh-CN"/>
        </w:rPr>
      </w:pPr>
    </w:p>
    <w:p>
      <w:pPr>
        <w:jc w:val="both"/>
        <w:rPr>
          <w:rFonts w:hint="eastAsia" w:eastAsia="宋体"/>
          <w:lang w:val="en-US" w:eastAsia="zh-CN"/>
        </w:rPr>
      </w:pPr>
      <w:r>
        <w:rPr>
          <w:rFonts w:hint="eastAsia"/>
          <w:lang w:val="en-US" w:eastAsia="zh-CN"/>
        </w:rPr>
        <w:t>For the</w:t>
      </w:r>
      <w:r>
        <w:rPr>
          <w:rFonts w:hint="eastAsia"/>
          <w:sz w:val="21"/>
          <w:lang w:val="en-US" w:eastAsia="zh-CN"/>
        </w:rPr>
        <w:t xml:space="preserve"> case 1 that </w:t>
      </w:r>
      <w:r>
        <w:rPr>
          <w:rFonts w:hint="default"/>
          <w:sz w:val="21"/>
          <w:lang w:val="en-US" w:eastAsia="zh-CN"/>
        </w:rPr>
        <w:t>“</w:t>
      </w:r>
      <w:r>
        <w:rPr>
          <w:rFonts w:hint="eastAsia"/>
          <w:sz w:val="21"/>
          <w:lang w:val="en-US" w:eastAsia="zh-CN"/>
        </w:rPr>
        <w:t>There are RA resources configured on both the activated BWP of SUL and NUL</w:t>
      </w:r>
      <w:r>
        <w:rPr>
          <w:rFonts w:hint="default"/>
          <w:sz w:val="21"/>
          <w:lang w:val="en-US" w:eastAsia="zh-CN"/>
        </w:rPr>
        <w:t>”</w:t>
      </w:r>
      <w:r>
        <w:rPr>
          <w:rFonts w:hint="eastAsia"/>
          <w:sz w:val="21"/>
          <w:lang w:val="en-US" w:eastAsia="zh-CN"/>
        </w:rPr>
        <w:t>, a</w:t>
      </w:r>
      <w:r>
        <w:rPr>
          <w:rFonts w:hint="eastAsia"/>
          <w:lang w:val="en-US" w:eastAsia="zh-CN"/>
        </w:rPr>
        <w:t xml:space="preserve">ccording to the current spec, for the SpCell, </w:t>
      </w:r>
      <w:r>
        <w:rPr>
          <w:lang w:eastAsia="ko-KR"/>
        </w:rPr>
        <w:t xml:space="preserve">if the active DL BWP does not have the same </w:t>
      </w:r>
      <w:r>
        <w:rPr>
          <w:i/>
          <w:lang w:eastAsia="ko-KR"/>
        </w:rPr>
        <w:t>bwp-Id</w:t>
      </w:r>
      <w:r>
        <w:rPr>
          <w:lang w:eastAsia="ko-KR"/>
        </w:rPr>
        <w:t xml:space="preserve"> as the active UL BWP</w:t>
      </w:r>
      <w:r>
        <w:rPr>
          <w:rFonts w:hint="eastAsia" w:eastAsia="宋体"/>
          <w:lang w:val="en-US" w:eastAsia="zh-CN"/>
        </w:rPr>
        <w:t xml:space="preserve">, the UE should </w:t>
      </w:r>
      <w:r>
        <w:rPr>
          <w:lang w:eastAsia="ko-KR"/>
        </w:rPr>
        <w:t xml:space="preserve">switch the active DL BWP to the DL BWP with the same </w:t>
      </w:r>
      <w:r>
        <w:rPr>
          <w:i/>
          <w:lang w:eastAsia="ko-KR"/>
        </w:rPr>
        <w:t>bwp-Id</w:t>
      </w:r>
      <w:r>
        <w:rPr>
          <w:lang w:eastAsia="ko-KR"/>
        </w:rPr>
        <w:t xml:space="preserve"> as the active UL BWP</w:t>
      </w:r>
      <w:r>
        <w:rPr>
          <w:rFonts w:hint="eastAsia" w:eastAsia="宋体"/>
          <w:lang w:val="en-US" w:eastAsia="zh-CN"/>
        </w:rPr>
        <w:t>. However, since the active BWP ID may be different in the SUL and NUL, we think the SUL/NUL selection should be made before the BWP switch operation, otherwise, it is not clear which DL BWP should be switched to.</w:t>
      </w:r>
    </w:p>
    <w:p>
      <w:pPr>
        <w:jc w:val="both"/>
        <w:rPr>
          <w:rFonts w:hint="eastAsia" w:eastAsia="宋体"/>
          <w:lang w:val="en-US" w:eastAsia="zh-CN"/>
        </w:rPr>
      </w:pPr>
    </w:p>
    <w:p>
      <w:pPr>
        <w:jc w:val="both"/>
        <w:rPr>
          <w:rFonts w:hint="eastAsia" w:eastAsia="宋体"/>
          <w:b/>
          <w:bCs/>
          <w:i w:val="0"/>
          <w:iCs w:val="0"/>
          <w:lang w:val="en-US" w:eastAsia="zh-CN"/>
        </w:rPr>
      </w:pPr>
      <w:r>
        <w:rPr>
          <w:rFonts w:hint="eastAsia" w:eastAsia="宋体"/>
          <w:b/>
          <w:bCs/>
          <w:i w:val="0"/>
          <w:iCs w:val="0"/>
          <w:lang w:val="en-US" w:eastAsia="zh-CN"/>
        </w:rPr>
        <w:t>Observation 1: Since the active BWP ID may be different in the SUL and UL, the SUL/NUL selection should be made before the BWP switch operation. Otherwise, it is not clear which DL BWP should be switched to.</w:t>
      </w:r>
    </w:p>
    <w:p>
      <w:pPr>
        <w:jc w:val="both"/>
        <w:rPr>
          <w:rFonts w:hint="eastAsia" w:eastAsia="宋体"/>
          <w:lang w:val="en-US" w:eastAsia="zh-CN"/>
        </w:rPr>
      </w:pPr>
    </w:p>
    <w:p>
      <w:pPr>
        <w:jc w:val="both"/>
        <w:rPr>
          <w:rFonts w:hint="eastAsia"/>
          <w:sz w:val="21"/>
          <w:lang w:val="en-US" w:eastAsia="zh-CN"/>
        </w:rPr>
      </w:pPr>
      <w:r>
        <w:rPr>
          <w:rFonts w:hint="eastAsia"/>
          <w:sz w:val="21"/>
          <w:lang w:val="en-US" w:eastAsia="zh-CN"/>
        </w:rPr>
        <w:t>For the case 2 and case 3, in order to save the complexity, we prefer to align with the behaviour of case 1 that the UE should do the SUL/NUL selection first, and then preform the BWP switch on the selected BWP, if needed.</w:t>
      </w:r>
    </w:p>
    <w:p>
      <w:pPr>
        <w:jc w:val="both"/>
        <w:rPr>
          <w:rFonts w:hint="eastAsia"/>
          <w:sz w:val="21"/>
          <w:lang w:val="en-US" w:eastAsia="zh-CN"/>
        </w:rPr>
      </w:pPr>
    </w:p>
    <w:p>
      <w:pPr>
        <w:jc w:val="both"/>
        <w:rPr>
          <w:rFonts w:hint="eastAsia"/>
          <w:sz w:val="21"/>
          <w:lang w:val="en-US" w:eastAsia="zh-CN"/>
        </w:rPr>
      </w:pPr>
      <w:r>
        <w:rPr>
          <w:rFonts w:hint="eastAsia"/>
          <w:sz w:val="21"/>
          <w:lang w:val="en-US" w:eastAsia="zh-CN"/>
        </w:rPr>
        <w:t>Based on the observation above, we give our proposal 1 as follow:</w:t>
      </w:r>
    </w:p>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Proposal 1: The SUL/NUL selection should be made before the BWP switch operation, and the RA triggered BWP switch operation should be made for the selected UL carrier.</w:t>
      </w:r>
    </w:p>
    <w:p>
      <w:pPr>
        <w:jc w:val="both"/>
        <w:rPr>
          <w:rFonts w:hint="eastAsia"/>
          <w:b/>
          <w:bCs/>
          <w:sz w:val="21"/>
          <w:lang w:val="en-US" w:eastAsia="zh-CN"/>
        </w:rPr>
      </w:pP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jc w:val="both"/>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jc w:val="both"/>
        <w:rPr>
          <w:rFonts w:hint="eastAsia" w:eastAsia="宋体"/>
          <w:b/>
          <w:bCs/>
          <w:i w:val="0"/>
          <w:iCs/>
          <w:color w:val="auto"/>
          <w:sz w:val="21"/>
          <w:szCs w:val="21"/>
          <w:u w:val="none"/>
          <w:lang w:val="en-US" w:eastAsia="zh-CN"/>
        </w:rPr>
      </w:pPr>
    </w:p>
    <w:p>
      <w:pPr>
        <w:jc w:val="both"/>
        <w:rPr>
          <w:rFonts w:hint="eastAsia" w:eastAsia="宋体"/>
          <w:b w:val="0"/>
          <w:bCs w:val="0"/>
          <w:i/>
          <w:iCs/>
          <w:lang w:val="en-US" w:eastAsia="zh-CN"/>
        </w:rPr>
      </w:pPr>
      <w:r>
        <w:rPr>
          <w:rFonts w:hint="eastAsia" w:eastAsia="宋体"/>
          <w:b w:val="0"/>
          <w:bCs w:val="0"/>
          <w:i/>
          <w:iCs/>
          <w:lang w:val="en-US" w:eastAsia="zh-CN"/>
        </w:rPr>
        <w:t>Observation 1: Since the active BWP ID may be different in the SUL and NUL, the SUL/NUL selection should be made before the BWP switch operation, otherwise, it is not clear which DL BWP should be switched to.</w:t>
      </w: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Proposal 1: The SUL/NUL selection should be made before the BWP switch operation, and the RA triggered BWP switch operation should be made for the selected UL carrier.</w:t>
      </w:r>
    </w:p>
    <w:p>
      <w:pPr>
        <w:jc w:val="both"/>
        <w:rPr>
          <w:rFonts w:hint="eastAsia"/>
          <w:b/>
          <w:bCs/>
          <w:sz w:val="21"/>
          <w:lang w:val="en-US" w:eastAsia="zh-CN"/>
        </w:rPr>
      </w:pPr>
    </w:p>
    <w:p>
      <w:pPr>
        <w:jc w:val="both"/>
        <w:rPr>
          <w:rFonts w:hint="eastAsia"/>
          <w:sz w:val="21"/>
          <w:lang w:val="en-US" w:eastAsia="zh-CN"/>
        </w:rPr>
      </w:pPr>
      <w:r>
        <w:rPr>
          <w:rFonts w:hint="eastAsia"/>
          <w:sz w:val="21"/>
          <w:lang w:val="en-US" w:eastAsia="zh-CN"/>
        </w:rPr>
        <w:t>The corresponding CR can be found in [2].</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jc w:val="both"/>
        <w:rPr>
          <w:rFonts w:hint="eastAsia" w:eastAsia="宋体"/>
          <w:lang w:val="en-US" w:eastAsia="zh-CN"/>
        </w:rPr>
      </w:pPr>
    </w:p>
    <w:p>
      <w:pPr>
        <w:pStyle w:val="11"/>
        <w:numPr>
          <w:ilvl w:val="0"/>
          <w:numId w:val="7"/>
        </w:numPr>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r>
        <w:rPr>
          <w:rFonts w:hint="eastAsia" w:eastAsia="宋体"/>
          <w:lang w:val="en-US" w:eastAsia="zh-CN"/>
        </w:rPr>
        <w:t>RAN2-38.321f20</w:t>
      </w:r>
    </w:p>
    <w:p>
      <w:pPr>
        <w:pStyle w:val="11"/>
        <w:numPr>
          <w:ilvl w:val="0"/>
          <w:numId w:val="7"/>
        </w:numPr>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r>
        <w:rPr>
          <w:rFonts w:hint="eastAsia" w:eastAsia="宋体"/>
          <w:lang w:val="en-US" w:eastAsia="zh-CN"/>
        </w:rPr>
        <w:t>R2-1812951</w:t>
      </w:r>
      <w:bookmarkStart w:id="5" w:name="_GoBack"/>
      <w:bookmarkEnd w:id="5"/>
      <w:r>
        <w:rPr>
          <w:rFonts w:hint="eastAsia" w:eastAsia="宋体"/>
          <w:lang w:val="en-US" w:eastAsia="zh-CN"/>
        </w:rPr>
        <w:tab/>
      </w:r>
      <w:r>
        <w:rPr>
          <w:rFonts w:hint="eastAsia" w:eastAsia="宋体"/>
          <w:lang w:val="en-US" w:eastAsia="zh-CN"/>
        </w:rPr>
        <w:t>CR to the RA triggered BWP switch in case SUL is configured</w:t>
      </w:r>
    </w:p>
    <w:p>
      <w:pPr>
        <w:pStyle w:val="11"/>
        <w:pBdr>
          <w:top w:val="none" w:color="auto" w:sz="0" w:space="0"/>
          <w:left w:val="none" w:color="auto" w:sz="0" w:space="0"/>
          <w:bottom w:val="none" w:color="auto" w:sz="0" w:space="0"/>
          <w:right w:val="none" w:color="auto" w:sz="0" w:space="0"/>
          <w:between w:val="none" w:color="auto" w:sz="0" w:space="0"/>
        </w:pBdr>
        <w:jc w:val="both"/>
        <w:rPr>
          <w:rFonts w:eastAsiaTheme="minorEastAsia"/>
          <w:iCs/>
          <w:lang w:eastAsia="zh-CN"/>
        </w:rPr>
      </w:pPr>
    </w:p>
    <w:p>
      <w:pPr>
        <w:pStyle w:val="11"/>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A2CBC"/>
    <w:multiLevelType w:val="singleLevel"/>
    <w:tmpl w:val="846A2CBC"/>
    <w:lvl w:ilvl="0" w:tentative="0">
      <w:start w:val="1"/>
      <w:numFmt w:val="bullet"/>
      <w:lvlText w:val=""/>
      <w:lvlJc w:val="left"/>
      <w:pPr>
        <w:ind w:left="420" w:hanging="420"/>
      </w:pPr>
      <w:rPr>
        <w:rFonts w:hint="default" w:ascii="Wingdings" w:hAnsi="Wingdings"/>
      </w:rPr>
    </w:lvl>
  </w:abstractNum>
  <w:abstractNum w:abstractNumId="1">
    <w:nsid w:val="B510E6EF"/>
    <w:multiLevelType w:val="singleLevel"/>
    <w:tmpl w:val="B510E6EF"/>
    <w:lvl w:ilvl="0" w:tentative="0">
      <w:start w:val="1"/>
      <w:numFmt w:val="decimal"/>
      <w:suff w:val="space"/>
      <w:lvlText w:val="[%1]"/>
      <w:lvlJc w:val="left"/>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70146DC0"/>
    <w:multiLevelType w:val="multilevel"/>
    <w:tmpl w:val="70146DC0"/>
    <w:lvl w:ilvl="0" w:tentative="0">
      <w:start w:val="1"/>
      <w:numFmt w:val="bullet"/>
      <w:pStyle w:val="87"/>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6"/>
  </w:num>
  <w:num w:numId="2">
    <w:abstractNumId w:val="4"/>
  </w:num>
  <w:num w:numId="3">
    <w:abstractNumId w:val="2"/>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CD512A"/>
    <w:rsid w:val="02F63080"/>
    <w:rsid w:val="03627459"/>
    <w:rsid w:val="03896557"/>
    <w:rsid w:val="039501B4"/>
    <w:rsid w:val="03BF16C1"/>
    <w:rsid w:val="04422021"/>
    <w:rsid w:val="05567168"/>
    <w:rsid w:val="0582796D"/>
    <w:rsid w:val="05E21325"/>
    <w:rsid w:val="0649325D"/>
    <w:rsid w:val="06830CCA"/>
    <w:rsid w:val="072B715D"/>
    <w:rsid w:val="073444D8"/>
    <w:rsid w:val="081D4DCE"/>
    <w:rsid w:val="08AB1934"/>
    <w:rsid w:val="08C547CA"/>
    <w:rsid w:val="08F50C78"/>
    <w:rsid w:val="094A7C82"/>
    <w:rsid w:val="09A9624D"/>
    <w:rsid w:val="09B82318"/>
    <w:rsid w:val="0A2C68A6"/>
    <w:rsid w:val="0A70536D"/>
    <w:rsid w:val="0B312169"/>
    <w:rsid w:val="0B5B1FD3"/>
    <w:rsid w:val="0BA00CD6"/>
    <w:rsid w:val="0BC12D0F"/>
    <w:rsid w:val="0CA45875"/>
    <w:rsid w:val="0D166C5F"/>
    <w:rsid w:val="0D474A0C"/>
    <w:rsid w:val="0D621CF9"/>
    <w:rsid w:val="0D7735C1"/>
    <w:rsid w:val="0DCF0958"/>
    <w:rsid w:val="0DF11F2D"/>
    <w:rsid w:val="0E005895"/>
    <w:rsid w:val="0E6E593D"/>
    <w:rsid w:val="0F3573CF"/>
    <w:rsid w:val="0F5C0682"/>
    <w:rsid w:val="10081732"/>
    <w:rsid w:val="100A5ED1"/>
    <w:rsid w:val="108558B7"/>
    <w:rsid w:val="10B21205"/>
    <w:rsid w:val="117D6CA9"/>
    <w:rsid w:val="12AB6ECF"/>
    <w:rsid w:val="12D512FC"/>
    <w:rsid w:val="130C275D"/>
    <w:rsid w:val="131B3A72"/>
    <w:rsid w:val="13587E3E"/>
    <w:rsid w:val="14890F28"/>
    <w:rsid w:val="15446A58"/>
    <w:rsid w:val="15542431"/>
    <w:rsid w:val="15694C32"/>
    <w:rsid w:val="15E96D92"/>
    <w:rsid w:val="163933DA"/>
    <w:rsid w:val="167E58D6"/>
    <w:rsid w:val="16E650F6"/>
    <w:rsid w:val="16EB4116"/>
    <w:rsid w:val="170F374D"/>
    <w:rsid w:val="177B7782"/>
    <w:rsid w:val="17D7417B"/>
    <w:rsid w:val="17D8549B"/>
    <w:rsid w:val="184F4020"/>
    <w:rsid w:val="18742B83"/>
    <w:rsid w:val="196131C2"/>
    <w:rsid w:val="19AE74A9"/>
    <w:rsid w:val="1A890BCD"/>
    <w:rsid w:val="1A8A5B7E"/>
    <w:rsid w:val="1AF2495A"/>
    <w:rsid w:val="1BA2390D"/>
    <w:rsid w:val="1BAE78BD"/>
    <w:rsid w:val="1BF85857"/>
    <w:rsid w:val="1C7B3236"/>
    <w:rsid w:val="1C9F7205"/>
    <w:rsid w:val="1D0273EC"/>
    <w:rsid w:val="1D302716"/>
    <w:rsid w:val="1D35689D"/>
    <w:rsid w:val="1E474216"/>
    <w:rsid w:val="1E646FC6"/>
    <w:rsid w:val="1E831CAA"/>
    <w:rsid w:val="1F4474A7"/>
    <w:rsid w:val="1F4B3802"/>
    <w:rsid w:val="1F4D1819"/>
    <w:rsid w:val="1F555894"/>
    <w:rsid w:val="1F7466A5"/>
    <w:rsid w:val="1FDF2212"/>
    <w:rsid w:val="20557136"/>
    <w:rsid w:val="21D9483B"/>
    <w:rsid w:val="21DA2BA2"/>
    <w:rsid w:val="21E84C58"/>
    <w:rsid w:val="222E2EBD"/>
    <w:rsid w:val="22363E1E"/>
    <w:rsid w:val="233806D7"/>
    <w:rsid w:val="238154F4"/>
    <w:rsid w:val="238F7975"/>
    <w:rsid w:val="239E7D8B"/>
    <w:rsid w:val="257D5651"/>
    <w:rsid w:val="2593304F"/>
    <w:rsid w:val="26A251E4"/>
    <w:rsid w:val="273B2AE2"/>
    <w:rsid w:val="2835294A"/>
    <w:rsid w:val="28D01C3C"/>
    <w:rsid w:val="28EC1E80"/>
    <w:rsid w:val="28F42B77"/>
    <w:rsid w:val="29573089"/>
    <w:rsid w:val="29E806D9"/>
    <w:rsid w:val="2A073038"/>
    <w:rsid w:val="2A901EC5"/>
    <w:rsid w:val="2B63227D"/>
    <w:rsid w:val="2B73646F"/>
    <w:rsid w:val="2C89329C"/>
    <w:rsid w:val="2CF43A6B"/>
    <w:rsid w:val="2D0F1DF0"/>
    <w:rsid w:val="2DC063BA"/>
    <w:rsid w:val="2DFA4F65"/>
    <w:rsid w:val="2DFE3C75"/>
    <w:rsid w:val="2E704EAD"/>
    <w:rsid w:val="302D7571"/>
    <w:rsid w:val="31F03AB7"/>
    <w:rsid w:val="31F74A0D"/>
    <w:rsid w:val="327276DD"/>
    <w:rsid w:val="3326634F"/>
    <w:rsid w:val="33597FD6"/>
    <w:rsid w:val="337A3092"/>
    <w:rsid w:val="337C39F1"/>
    <w:rsid w:val="3472228A"/>
    <w:rsid w:val="348F3B12"/>
    <w:rsid w:val="351532CB"/>
    <w:rsid w:val="35F4163C"/>
    <w:rsid w:val="367E7CF3"/>
    <w:rsid w:val="368B7705"/>
    <w:rsid w:val="370910DD"/>
    <w:rsid w:val="37BD5DA5"/>
    <w:rsid w:val="37E34EA0"/>
    <w:rsid w:val="384E4E6B"/>
    <w:rsid w:val="386113FA"/>
    <w:rsid w:val="38912899"/>
    <w:rsid w:val="38BD6327"/>
    <w:rsid w:val="39653F7E"/>
    <w:rsid w:val="39A11E9E"/>
    <w:rsid w:val="39BC7BA4"/>
    <w:rsid w:val="3A6A0B9D"/>
    <w:rsid w:val="3D686B4D"/>
    <w:rsid w:val="3D754879"/>
    <w:rsid w:val="3D8E51BD"/>
    <w:rsid w:val="3DAD56AD"/>
    <w:rsid w:val="3EC332A2"/>
    <w:rsid w:val="3EDD524D"/>
    <w:rsid w:val="3F8A6A3E"/>
    <w:rsid w:val="3F8C28BA"/>
    <w:rsid w:val="407D5023"/>
    <w:rsid w:val="40C7743F"/>
    <w:rsid w:val="42722376"/>
    <w:rsid w:val="42BB161E"/>
    <w:rsid w:val="42C673F9"/>
    <w:rsid w:val="42FD1841"/>
    <w:rsid w:val="441C4931"/>
    <w:rsid w:val="44802DDB"/>
    <w:rsid w:val="44E46B9C"/>
    <w:rsid w:val="453F67C5"/>
    <w:rsid w:val="45866B2E"/>
    <w:rsid w:val="45BF1E3C"/>
    <w:rsid w:val="45F47616"/>
    <w:rsid w:val="4676484C"/>
    <w:rsid w:val="46A86AEE"/>
    <w:rsid w:val="46FF18CB"/>
    <w:rsid w:val="479606B1"/>
    <w:rsid w:val="47C37203"/>
    <w:rsid w:val="480D4A0B"/>
    <w:rsid w:val="483F7055"/>
    <w:rsid w:val="48B01AF1"/>
    <w:rsid w:val="48BB3DB2"/>
    <w:rsid w:val="48BE16B3"/>
    <w:rsid w:val="48C316D7"/>
    <w:rsid w:val="48FC5E43"/>
    <w:rsid w:val="490637D8"/>
    <w:rsid w:val="49181B32"/>
    <w:rsid w:val="49A0470C"/>
    <w:rsid w:val="49DA3D9D"/>
    <w:rsid w:val="4A6733FD"/>
    <w:rsid w:val="4B0D0DAD"/>
    <w:rsid w:val="4B921DF9"/>
    <w:rsid w:val="4CE9144F"/>
    <w:rsid w:val="4D4F0975"/>
    <w:rsid w:val="4E811A18"/>
    <w:rsid w:val="4EB174CF"/>
    <w:rsid w:val="4EF1316B"/>
    <w:rsid w:val="4F150A97"/>
    <w:rsid w:val="4F3B3D5D"/>
    <w:rsid w:val="503F487A"/>
    <w:rsid w:val="50C61B31"/>
    <w:rsid w:val="50E8031F"/>
    <w:rsid w:val="51857CB1"/>
    <w:rsid w:val="51BB12DF"/>
    <w:rsid w:val="530D49A8"/>
    <w:rsid w:val="54295CB2"/>
    <w:rsid w:val="55025020"/>
    <w:rsid w:val="553329A2"/>
    <w:rsid w:val="556B6A94"/>
    <w:rsid w:val="559B4535"/>
    <w:rsid w:val="55B4675A"/>
    <w:rsid w:val="568C1646"/>
    <w:rsid w:val="56C27344"/>
    <w:rsid w:val="578C6654"/>
    <w:rsid w:val="57DD2170"/>
    <w:rsid w:val="57E2239E"/>
    <w:rsid w:val="58337537"/>
    <w:rsid w:val="588E1C91"/>
    <w:rsid w:val="58C61C82"/>
    <w:rsid w:val="5913647E"/>
    <w:rsid w:val="5919037A"/>
    <w:rsid w:val="59307E86"/>
    <w:rsid w:val="59724A8E"/>
    <w:rsid w:val="59E050E2"/>
    <w:rsid w:val="5A111D94"/>
    <w:rsid w:val="5A987FF3"/>
    <w:rsid w:val="5B4068D8"/>
    <w:rsid w:val="5C0754DC"/>
    <w:rsid w:val="5C34577D"/>
    <w:rsid w:val="5CAF0BB0"/>
    <w:rsid w:val="5CED57A0"/>
    <w:rsid w:val="5D551670"/>
    <w:rsid w:val="5DD54BC9"/>
    <w:rsid w:val="5E212230"/>
    <w:rsid w:val="5EA84FFF"/>
    <w:rsid w:val="5F9A29F2"/>
    <w:rsid w:val="5FE47553"/>
    <w:rsid w:val="60EA7205"/>
    <w:rsid w:val="615B0ED3"/>
    <w:rsid w:val="616B48F4"/>
    <w:rsid w:val="62266C75"/>
    <w:rsid w:val="62BA1095"/>
    <w:rsid w:val="630B2082"/>
    <w:rsid w:val="642E7072"/>
    <w:rsid w:val="643E3F58"/>
    <w:rsid w:val="64406D69"/>
    <w:rsid w:val="644E34C8"/>
    <w:rsid w:val="64B36FC9"/>
    <w:rsid w:val="65CC4F6A"/>
    <w:rsid w:val="65D4080E"/>
    <w:rsid w:val="65F46384"/>
    <w:rsid w:val="6634496C"/>
    <w:rsid w:val="664C627C"/>
    <w:rsid w:val="66A77B4A"/>
    <w:rsid w:val="66DF67A5"/>
    <w:rsid w:val="66EB4535"/>
    <w:rsid w:val="67125ABE"/>
    <w:rsid w:val="671973B6"/>
    <w:rsid w:val="676E2DE3"/>
    <w:rsid w:val="69195C78"/>
    <w:rsid w:val="6923311F"/>
    <w:rsid w:val="69262905"/>
    <w:rsid w:val="69C21088"/>
    <w:rsid w:val="69E06F23"/>
    <w:rsid w:val="6A367A46"/>
    <w:rsid w:val="6ACB57CA"/>
    <w:rsid w:val="6AFD64FC"/>
    <w:rsid w:val="6CEE7148"/>
    <w:rsid w:val="6CFC759F"/>
    <w:rsid w:val="6DD5082F"/>
    <w:rsid w:val="6DE74A42"/>
    <w:rsid w:val="6E3D6C31"/>
    <w:rsid w:val="6ECF1692"/>
    <w:rsid w:val="6F101A3C"/>
    <w:rsid w:val="6F15512E"/>
    <w:rsid w:val="6FD701C9"/>
    <w:rsid w:val="6FE11BF2"/>
    <w:rsid w:val="70644E0A"/>
    <w:rsid w:val="709D6AD9"/>
    <w:rsid w:val="70A12211"/>
    <w:rsid w:val="713236B0"/>
    <w:rsid w:val="71391D75"/>
    <w:rsid w:val="71510758"/>
    <w:rsid w:val="71B455A6"/>
    <w:rsid w:val="725164CE"/>
    <w:rsid w:val="730258BC"/>
    <w:rsid w:val="7316577D"/>
    <w:rsid w:val="73471956"/>
    <w:rsid w:val="737E68FB"/>
    <w:rsid w:val="738D6305"/>
    <w:rsid w:val="73F4313D"/>
    <w:rsid w:val="746C1107"/>
    <w:rsid w:val="74AC4342"/>
    <w:rsid w:val="75656B30"/>
    <w:rsid w:val="75C8748F"/>
    <w:rsid w:val="767F5AB5"/>
    <w:rsid w:val="768B6A25"/>
    <w:rsid w:val="769F13D9"/>
    <w:rsid w:val="76D43D74"/>
    <w:rsid w:val="77815A3B"/>
    <w:rsid w:val="77A9757E"/>
    <w:rsid w:val="77B26ADC"/>
    <w:rsid w:val="79BF75D5"/>
    <w:rsid w:val="7A7E77D2"/>
    <w:rsid w:val="7A944912"/>
    <w:rsid w:val="7AB56959"/>
    <w:rsid w:val="7AD52D56"/>
    <w:rsid w:val="7C190D59"/>
    <w:rsid w:val="7C3209BA"/>
    <w:rsid w:val="7C993BEA"/>
    <w:rsid w:val="7DAD53E2"/>
    <w:rsid w:val="7E123B67"/>
    <w:rsid w:val="7E5F60B9"/>
    <w:rsid w:val="7E5F6EA8"/>
    <w:rsid w:val="7F13566B"/>
    <w:rsid w:val="7F947221"/>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8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 w:type="paragraph" w:customStyle="1" w:styleId="85">
    <w:name w:val="EQ"/>
    <w:basedOn w:val="1"/>
    <w:next w:val="1"/>
    <w:qFormat/>
    <w:uiPriority w:val="0"/>
    <w:pPr>
      <w:keepLines/>
      <w:tabs>
        <w:tab w:val="center" w:pos="4536"/>
        <w:tab w:val="right" w:pos="9072"/>
      </w:tabs>
    </w:pPr>
  </w:style>
  <w:style w:type="character" w:customStyle="1" w:styleId="86">
    <w:name w:val="标题 1 Char"/>
    <w:link w:val="2"/>
    <w:qFormat/>
    <w:uiPriority w:val="0"/>
    <w:rPr>
      <w:rFonts w:ascii="Arial" w:hAnsi="Arial" w:eastAsia="宋体" w:cs="Arial"/>
      <w:b/>
      <w:bCs/>
      <w:kern w:val="32"/>
      <w:sz w:val="28"/>
      <w:szCs w:val="32"/>
      <w:lang w:eastAsia="zh-CN"/>
    </w:rPr>
  </w:style>
  <w:style w:type="paragraph" w:customStyle="1" w:styleId="87">
    <w:name w:val="Agreement"/>
    <w:basedOn w:val="1"/>
    <w:next w:val="42"/>
    <w:qFormat/>
    <w:uiPriority w:val="0"/>
    <w:pPr>
      <w:numPr>
        <w:ilvl w:val="0"/>
        <w:numId w:val="5"/>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TotalTime>1</TotalTime>
  <ScaleCrop>false</ScaleCrop>
  <LinksUpToDate>false</LinksUpToDate>
  <CharactersWithSpaces>17840</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2018-08-15T00:55:42Z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